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B0062">
      <w:pPr>
        <w:jc w:val="center"/>
        <w:rPr>
          <w:rFonts w:hint="eastAsia" w:asciiTheme="minorEastAsia" w:hAnsiTheme="minorEastAsia" w:eastAsiaTheme="minorEastAsia"/>
          <w:b/>
          <w:sz w:val="44"/>
          <w:szCs w:val="44"/>
          <w:lang w:eastAsia="zh-CN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>怒江州人民</w:t>
      </w:r>
      <w:r>
        <w:rPr>
          <w:rFonts w:hint="eastAsia" w:asciiTheme="minorEastAsia" w:hAnsiTheme="minorEastAsia"/>
          <w:b/>
          <w:sz w:val="44"/>
          <w:szCs w:val="44"/>
        </w:rPr>
        <w:t>医院</w:t>
      </w:r>
      <w:r>
        <w:rPr>
          <w:rFonts w:hint="eastAsia" w:asciiTheme="minorEastAsia" w:hAnsiTheme="minorEastAsia"/>
          <w:b/>
          <w:sz w:val="44"/>
          <w:szCs w:val="44"/>
          <w:lang w:eastAsia="zh-CN"/>
        </w:rPr>
        <w:t>师资管理平台采购计划</w:t>
      </w:r>
    </w:p>
    <w:p w14:paraId="0526005A">
      <w:pPr>
        <w:jc w:val="center"/>
        <w:rPr>
          <w:rFonts w:hint="eastAsia" w:asciiTheme="minorEastAsia" w:hAnsiTheme="minorEastAsia"/>
          <w:b/>
          <w:sz w:val="44"/>
          <w:szCs w:val="44"/>
        </w:rPr>
      </w:pPr>
    </w:p>
    <w:tbl>
      <w:tblPr>
        <w:tblStyle w:val="8"/>
        <w:tblW w:w="9120" w:type="dxa"/>
        <w:tblInd w:w="-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0"/>
        <w:gridCol w:w="2535"/>
        <w:gridCol w:w="2835"/>
      </w:tblGrid>
      <w:tr w14:paraId="0D66F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3750" w:type="dxa"/>
          </w:tcPr>
          <w:p w14:paraId="3022E71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eastAsia="zh-CN"/>
              </w:rPr>
              <w:t>采购内容</w:t>
            </w:r>
          </w:p>
        </w:tc>
        <w:tc>
          <w:tcPr>
            <w:tcW w:w="2535" w:type="dxa"/>
          </w:tcPr>
          <w:p w14:paraId="6766815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服务方式</w:t>
            </w:r>
          </w:p>
        </w:tc>
        <w:tc>
          <w:tcPr>
            <w:tcW w:w="2835" w:type="dxa"/>
          </w:tcPr>
          <w:p w14:paraId="5C5B176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预算金额</w:t>
            </w:r>
          </w:p>
        </w:tc>
      </w:tr>
      <w:tr w14:paraId="32691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0" w:type="dxa"/>
            <w:vAlign w:val="center"/>
          </w:tcPr>
          <w:p w14:paraId="74224614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1.培训基地师资管理平台（涵盖师资申报、师资培训、师资评价、聘用审核、师资日常管理等）</w:t>
            </w:r>
          </w:p>
        </w:tc>
        <w:tc>
          <w:tcPr>
            <w:tcW w:w="2535" w:type="dxa"/>
            <w:vAlign w:val="center"/>
          </w:tcPr>
          <w:p w14:paraId="36A369C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手机端</w:t>
            </w:r>
          </w:p>
          <w:p w14:paraId="22E7797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电脑端</w:t>
            </w:r>
          </w:p>
        </w:tc>
        <w:tc>
          <w:tcPr>
            <w:tcW w:w="2835" w:type="dxa"/>
          </w:tcPr>
          <w:p w14:paraId="118780E2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</w:rPr>
            </w:pPr>
          </w:p>
          <w:p w14:paraId="570F2E09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</w:rPr>
            </w:pPr>
          </w:p>
          <w:p w14:paraId="7B922452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万</w:t>
            </w:r>
          </w:p>
        </w:tc>
      </w:tr>
      <w:tr w14:paraId="0DAD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0" w:type="dxa"/>
          </w:tcPr>
          <w:p w14:paraId="4781FE6B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  <w:lang w:val="en-US" w:eastAsia="zh-CN"/>
              </w:rPr>
              <w:t>2.</w:t>
            </w:r>
            <w:r>
              <w:rPr>
                <w:rFonts w:hint="eastAsia" w:asciiTheme="minorEastAsia" w:hAnsiTheme="minorEastAsia" w:cstheme="minorEastAsia"/>
                <w:sz w:val="30"/>
                <w:szCs w:val="30"/>
                <w:lang w:eastAsia="zh-CN"/>
              </w:rPr>
              <w:t>线上师资培训课程（详见附件）</w:t>
            </w:r>
          </w:p>
          <w:p w14:paraId="64382153">
            <w:pPr>
              <w:jc w:val="left"/>
              <w:rPr>
                <w:rFonts w:hint="eastAsia" w:asciiTheme="minorEastAsia" w:hAnsiTheme="minorEastAsia" w:eastAsiaTheme="minorEastAsia" w:cstheme="minorEastAsia"/>
                <w:sz w:val="30"/>
                <w:szCs w:val="30"/>
              </w:rPr>
            </w:pPr>
          </w:p>
        </w:tc>
        <w:tc>
          <w:tcPr>
            <w:tcW w:w="2535" w:type="dxa"/>
          </w:tcPr>
          <w:p w14:paraId="4872762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手机端</w:t>
            </w:r>
          </w:p>
          <w:p w14:paraId="546545A4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电脑端</w:t>
            </w:r>
          </w:p>
        </w:tc>
        <w:tc>
          <w:tcPr>
            <w:tcW w:w="2835" w:type="dxa"/>
          </w:tcPr>
          <w:p w14:paraId="0E863A51">
            <w:pPr>
              <w:jc w:val="center"/>
              <w:rPr>
                <w:rFonts w:hint="eastAsia" w:asciiTheme="minorEastAsia" w:hAnsiTheme="minorEastAsia" w:cstheme="minorEastAsia"/>
                <w:sz w:val="30"/>
                <w:szCs w:val="30"/>
                <w:lang w:val="en-US" w:eastAsia="zh-CN"/>
              </w:rPr>
            </w:pPr>
          </w:p>
          <w:p w14:paraId="7EC4FBA4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万</w:t>
            </w:r>
          </w:p>
        </w:tc>
      </w:tr>
      <w:tr w14:paraId="33B2F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5" w:type="dxa"/>
            <w:gridSpan w:val="2"/>
          </w:tcPr>
          <w:p w14:paraId="77ECB22D">
            <w:pPr>
              <w:jc w:val="center"/>
              <w:rPr>
                <w:rFonts w:hint="eastAsia" w:asciiTheme="minorEastAsia" w:hAnsiTheme="minorEastAsia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2835" w:type="dxa"/>
          </w:tcPr>
          <w:p w14:paraId="69D241D0">
            <w:pPr>
              <w:jc w:val="center"/>
              <w:rPr>
                <w:rFonts w:hint="default" w:asciiTheme="minorEastAsia" w:hAnsi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32"/>
                <w:szCs w:val="32"/>
                <w:lang w:val="en-US" w:eastAsia="zh-CN"/>
              </w:rPr>
              <w:t>10万</w:t>
            </w:r>
          </w:p>
        </w:tc>
      </w:tr>
    </w:tbl>
    <w:p w14:paraId="5E1C86FC">
      <w:pPr>
        <w:jc w:val="right"/>
        <w:rPr>
          <w:rFonts w:hint="eastAsia"/>
          <w:sz w:val="21"/>
          <w:szCs w:val="21"/>
        </w:rPr>
      </w:pPr>
    </w:p>
    <w:p w14:paraId="7BE14428">
      <w:pPr>
        <w:jc w:val="right"/>
        <w:rPr>
          <w:rFonts w:hint="eastAsia"/>
          <w:sz w:val="21"/>
          <w:szCs w:val="21"/>
        </w:rPr>
      </w:pPr>
    </w:p>
    <w:p w14:paraId="68CAA6F9">
      <w:pPr>
        <w:jc w:val="right"/>
        <w:rPr>
          <w:rFonts w:hint="eastAsia"/>
          <w:sz w:val="21"/>
          <w:szCs w:val="21"/>
        </w:rPr>
      </w:pPr>
    </w:p>
    <w:p w14:paraId="2EF38243">
      <w:pPr>
        <w:jc w:val="right"/>
        <w:rPr>
          <w:rFonts w:hint="eastAsia"/>
          <w:sz w:val="21"/>
          <w:szCs w:val="21"/>
        </w:rPr>
      </w:pPr>
    </w:p>
    <w:p w14:paraId="57870FBB">
      <w:pPr>
        <w:jc w:val="right"/>
        <w:rPr>
          <w:rFonts w:hint="eastAsia"/>
          <w:sz w:val="21"/>
          <w:szCs w:val="21"/>
        </w:rPr>
      </w:pPr>
    </w:p>
    <w:p w14:paraId="7B5D9ACA">
      <w:pPr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eastAsia"/>
          <w:sz w:val="32"/>
          <w:szCs w:val="32"/>
          <w:lang w:eastAsia="zh-CN"/>
        </w:rPr>
        <w:t>科教科</w:t>
      </w:r>
    </w:p>
    <w:p w14:paraId="0B471410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   2026年06月02日</w:t>
      </w:r>
    </w:p>
    <w:p w14:paraId="455C19C6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6E2404A5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2B1E298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E6F8742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0C202706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58BFC5D">
      <w:pPr>
        <w:jc w:val="both"/>
        <w:rPr>
          <w:rFonts w:hint="eastAsia"/>
          <w:sz w:val="32"/>
          <w:szCs w:val="32"/>
          <w:lang w:val="en-US" w:eastAsia="zh-CN"/>
        </w:rPr>
      </w:pPr>
    </w:p>
    <w:p w14:paraId="5D7529DF"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附件：</w:t>
      </w:r>
    </w:p>
    <w:p w14:paraId="24950F93">
      <w:pPr>
        <w:jc w:val="center"/>
        <w:rPr>
          <w:rFonts w:hint="eastAsia" w:asciiTheme="minorEastAsia" w:hAnsiTheme="minorEastAsia" w:cstheme="minor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eastAsia="zh-CN"/>
        </w:rPr>
        <w:t>师资培训课程目录</w:t>
      </w:r>
    </w:p>
    <w:tbl>
      <w:tblPr>
        <w:tblW w:w="98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063"/>
        <w:gridCol w:w="1064"/>
        <w:gridCol w:w="6696"/>
      </w:tblGrid>
      <w:tr w14:paraId="6E97A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6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模块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3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分类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5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C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课程名称</w:t>
            </w:r>
          </w:p>
        </w:tc>
      </w:tr>
      <w:tr w14:paraId="7E129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7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政策规范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D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政策文件解读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C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E8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推进新时期住培质量建设需把握的若干问题</w:t>
            </w:r>
          </w:p>
        </w:tc>
      </w:tr>
      <w:tr w14:paraId="5E79D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422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51C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6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74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全科医生培养模式与培养体系</w:t>
            </w:r>
          </w:p>
        </w:tc>
      </w:tr>
      <w:tr w14:paraId="386C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0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基地管理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EE4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基地评估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A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A6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新形势下基地评估的特点、原则、发展趋势</w:t>
            </w:r>
          </w:p>
        </w:tc>
      </w:tr>
      <w:tr w14:paraId="22CA5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766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A67EB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9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DD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培训基地的自评要求与实施</w:t>
            </w:r>
          </w:p>
        </w:tc>
      </w:tr>
      <w:tr w14:paraId="39767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5AD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82DB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A9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3B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助理全科医生培训基地评估指标（2024版）解读</w:t>
            </w:r>
          </w:p>
        </w:tc>
      </w:tr>
      <w:tr w14:paraId="432D5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622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4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师资管理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F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C8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谈如何做一名优秀的临床带教老师</w:t>
            </w:r>
          </w:p>
        </w:tc>
      </w:tr>
      <w:tr w14:paraId="2DD0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C7A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2F7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7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0D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带教师资的角色定位与核心作用</w:t>
            </w:r>
          </w:p>
        </w:tc>
      </w:tr>
      <w:tr w14:paraId="7D294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0E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DCA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F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16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全科医学临床带教师资的基本素质要求</w:t>
            </w:r>
          </w:p>
        </w:tc>
      </w:tr>
      <w:tr w14:paraId="3B9E3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709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0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2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BA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基于岗位胜任力为导向的住培分层递进培养模式的探索与实践</w:t>
            </w:r>
          </w:p>
        </w:tc>
      </w:tr>
      <w:tr w14:paraId="538B3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E56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7EF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D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B1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如何按“分层递进”的原则开展培训</w:t>
            </w:r>
          </w:p>
        </w:tc>
      </w:tr>
      <w:tr w14:paraId="7AB1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2C5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D6B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9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DA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助理全科医生培训方案及课程体系</w:t>
            </w:r>
          </w:p>
        </w:tc>
      </w:tr>
      <w:tr w14:paraId="6C615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BFC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C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入科教育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F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48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如何开展入科教育-科室岗位基本需求特点</w:t>
            </w:r>
          </w:p>
        </w:tc>
      </w:tr>
      <w:tr w14:paraId="5250E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5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卫生法规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8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卫生法规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F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8D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医学带教核心法律与责任划分</w:t>
            </w:r>
          </w:p>
        </w:tc>
      </w:tr>
      <w:tr w14:paraId="09EA6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42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611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4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C9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带教过程中医疗纠纷（事故）典型案例复盘</w:t>
            </w:r>
          </w:p>
        </w:tc>
      </w:tr>
      <w:tr w14:paraId="07308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9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人文素养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DC3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思政教育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5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E5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学好悟透《医务人员职业道德准则2025》</w:t>
            </w:r>
          </w:p>
        </w:tc>
      </w:tr>
      <w:tr w14:paraId="380F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2D3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EF6F9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7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A3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临床带教中课程思政设计与实施</w:t>
            </w:r>
          </w:p>
        </w:tc>
      </w:tr>
      <w:tr w14:paraId="71DF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018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教学能力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C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E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D2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教学中的互动与情感交流</w:t>
            </w:r>
          </w:p>
        </w:tc>
      </w:tr>
      <w:tr w14:paraId="35E30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32BC7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1B1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B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C2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常用全科临床教学方法-现代医学教育理论</w:t>
            </w:r>
          </w:p>
        </w:tc>
      </w:tr>
      <w:tr w14:paraId="64086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FC43A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897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2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5C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胜任力导向医学课程设计思路</w:t>
            </w:r>
          </w:p>
        </w:tc>
      </w:tr>
      <w:tr w14:paraId="5EEFE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AF84F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87C71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4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2B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情境模拟教学助力住院医师胜任力培养</w:t>
            </w:r>
          </w:p>
        </w:tc>
      </w:tr>
      <w:tr w14:paraId="56D40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DAECA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45091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4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03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PPT赋能：打造有深度有温度的医学教学课堂</w:t>
            </w:r>
          </w:p>
        </w:tc>
      </w:tr>
      <w:tr w14:paraId="616B3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6AC4D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E90E9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5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85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师资教学授课技巧</w:t>
            </w:r>
          </w:p>
        </w:tc>
      </w:tr>
      <w:tr w14:paraId="34EBE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95863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0C975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5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8C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教学设计流程方法</w:t>
            </w:r>
          </w:p>
        </w:tc>
      </w:tr>
      <w:tr w14:paraId="72EA8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E2441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A890D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1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68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基于AI的课堂设计</w:t>
            </w:r>
          </w:p>
        </w:tc>
      </w:tr>
      <w:tr w14:paraId="36C78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EFB4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5DB38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2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ED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线上线下混合式教学设计</w:t>
            </w:r>
          </w:p>
        </w:tc>
      </w:tr>
      <w:tr w14:paraId="5DC73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FBF5B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F9A77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7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5A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教案设计与撰写</w:t>
            </w:r>
          </w:p>
        </w:tc>
      </w:tr>
      <w:tr w14:paraId="6746B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32F21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5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A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65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临床医学教育面对数智化大潮的思考</w:t>
            </w:r>
          </w:p>
        </w:tc>
      </w:tr>
      <w:tr w14:paraId="6B895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AD91F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C1E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D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E6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面对镜头讲好课</w:t>
            </w:r>
          </w:p>
        </w:tc>
      </w:tr>
      <w:tr w14:paraId="2890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1D59D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756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教学方法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C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EF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教学方法的选择与应用</w:t>
            </w:r>
          </w:p>
        </w:tc>
      </w:tr>
      <w:tr w14:paraId="5FAF9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727A8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03363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E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A4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CBL教学模式的应用特点与教学设计方法</w:t>
            </w:r>
          </w:p>
        </w:tc>
      </w:tr>
      <w:tr w14:paraId="11187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AF355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375E1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5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E8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CBL教学模式在临床技能教学中的实际操作与案例分析</w:t>
            </w:r>
          </w:p>
        </w:tc>
      </w:tr>
      <w:tr w14:paraId="3BE6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2F87F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900A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E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43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CBL与TBL联合教学模式在临床技能教学中的应用策略</w:t>
            </w:r>
          </w:p>
        </w:tc>
      </w:tr>
      <w:tr w14:paraId="2E56A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D6072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DAA87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9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38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TBL教学模式概论及相关理论基础</w:t>
            </w:r>
          </w:p>
        </w:tc>
      </w:tr>
      <w:tr w14:paraId="28E35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845CB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7E01D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A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1B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TBL教学模式的应用特点与教学设计方法</w:t>
            </w:r>
          </w:p>
        </w:tc>
      </w:tr>
      <w:tr w14:paraId="2BC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1C691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D9978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6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0B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TBL教学模式在临床技能教学中的实际操作与案例分析</w:t>
            </w:r>
          </w:p>
        </w:tc>
      </w:tr>
      <w:tr w14:paraId="46201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CA987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DD510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8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EB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小组讨论教学法</w:t>
            </w:r>
          </w:p>
        </w:tc>
      </w:tr>
      <w:tr w14:paraId="0E7C5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8DB45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4C881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A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BC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案例教学法</w:t>
            </w:r>
          </w:p>
        </w:tc>
      </w:tr>
      <w:tr w14:paraId="34A8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D534C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FBFC9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2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B6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角色扮演教学法</w:t>
            </w:r>
          </w:p>
        </w:tc>
      </w:tr>
      <w:tr w14:paraId="4A6B6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7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D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教学活动指南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1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F4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住培入院教育指南解读与实施指导</w:t>
            </w:r>
          </w:p>
        </w:tc>
      </w:tr>
      <w:tr w14:paraId="0302A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C30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65E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E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AF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教学病例讨论流程精解和教案设计关键点</w:t>
            </w:r>
          </w:p>
        </w:tc>
      </w:tr>
      <w:tr w14:paraId="2BDB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F6D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52B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9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07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住培门诊教学实施指引解读</w:t>
            </w:r>
          </w:p>
        </w:tc>
      </w:tr>
      <w:tr w14:paraId="6F25E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035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EE7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E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4A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360度评估指南（2022年版）解读</w:t>
            </w:r>
          </w:p>
        </w:tc>
      </w:tr>
      <w:tr w14:paraId="03F04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ADD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E5D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9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00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SOAP病例汇报评估指南（2022版）解读</w:t>
            </w:r>
          </w:p>
        </w:tc>
      </w:tr>
      <w:tr w14:paraId="771C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1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E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教学查房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F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E3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教学查房评分原则、常见问题及注意事项</w:t>
            </w:r>
          </w:p>
        </w:tc>
      </w:tr>
      <w:tr w14:paraId="5E47B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C90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0FB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1B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6D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全科教学查房演示</w:t>
            </w:r>
          </w:p>
        </w:tc>
      </w:tr>
      <w:tr w14:paraId="68DF4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4C5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A8C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病案讨论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7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C7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如何做好教学病例讨论</w:t>
            </w:r>
          </w:p>
        </w:tc>
      </w:tr>
      <w:tr w14:paraId="64CF9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476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A152F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7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1F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教学病例讨论情景演示</w:t>
            </w:r>
          </w:p>
        </w:tc>
      </w:tr>
      <w:tr w14:paraId="44A1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B10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DAEC8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1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09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教学病例讨论演示</w:t>
            </w:r>
          </w:p>
        </w:tc>
      </w:tr>
      <w:tr w14:paraId="4F28E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4C5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5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小讲课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1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54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如何做好住院医师规范化培训临床小讲课</w:t>
            </w:r>
          </w:p>
        </w:tc>
      </w:tr>
      <w:tr w14:paraId="4321F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2B9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323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36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BF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临床教学小讲课演示</w:t>
            </w:r>
          </w:p>
        </w:tc>
      </w:tr>
      <w:tr w14:paraId="23DFA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FC6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2D3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门诊教学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2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F3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全科门诊教学带教演示</w:t>
            </w:r>
          </w:p>
        </w:tc>
      </w:tr>
      <w:tr w14:paraId="66276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834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7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病历书写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C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58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如何指导住院医师书写医疗文书</w:t>
            </w:r>
          </w:p>
        </w:tc>
      </w:tr>
      <w:tr w14:paraId="47F99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1DE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C9D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F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B3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全科门诊病历背后的行为和思维</w:t>
            </w:r>
          </w:p>
        </w:tc>
      </w:tr>
      <w:tr w14:paraId="24EC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F2C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59C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1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11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全科SOAP病历结构、内容和特点</w:t>
            </w:r>
          </w:p>
        </w:tc>
      </w:tr>
      <w:tr w14:paraId="5F0A0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BEA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95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技能操作教学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C1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4D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技能带教与操作评分原则、常见问题及注意事项</w:t>
            </w:r>
          </w:p>
        </w:tc>
      </w:tr>
      <w:tr w14:paraId="2C17A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641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6C9FC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2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77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如何做好临床技能操作带教-临床技能教学设计策略</w:t>
            </w:r>
          </w:p>
        </w:tc>
      </w:tr>
      <w:tr w14:paraId="24E4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D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考核能力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1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考核设计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1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8A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高质量临床技能考核设计与应用</w:t>
            </w:r>
          </w:p>
        </w:tc>
      </w:tr>
      <w:tr w14:paraId="57D62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EE1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F4A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7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F2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基于胜任力的临床能力评估方法选择与应用</w:t>
            </w:r>
          </w:p>
        </w:tc>
      </w:tr>
      <w:tr w14:paraId="73C72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57C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F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出科考核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1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43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出科考核的体系构建与实践</w:t>
            </w:r>
          </w:p>
        </w:tc>
      </w:tr>
      <w:tr w14:paraId="5EF6D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6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E70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DE6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9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BB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基层实践基地出科考核设计与实施</w:t>
            </w:r>
          </w:p>
        </w:tc>
      </w:tr>
    </w:tbl>
    <w:p w14:paraId="1D93CAB7">
      <w:pPr>
        <w:jc w:val="both"/>
        <w:rPr>
          <w:rFonts w:hint="eastAsia" w:asciiTheme="minorEastAsia" w:hAnsiTheme="minorEastAsia" w:cstheme="minorEastAsia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566D4E"/>
    <w:multiLevelType w:val="multilevel"/>
    <w:tmpl w:val="10566D4E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 w:tentative="0">
      <w:start w:val="1"/>
      <w:numFmt w:val="decimal"/>
      <w:pStyle w:val="3"/>
      <w:lvlText w:val="%1.%2."/>
      <w:lvlJc w:val="left"/>
      <w:pPr>
        <w:ind w:left="992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pStyle w:val="4"/>
      <w:lvlText w:val="%1.%2.%3."/>
      <w:lvlJc w:val="left"/>
      <w:pPr>
        <w:ind w:left="1561" w:hanging="709"/>
      </w:pPr>
      <w:rPr>
        <w:rFonts w:ascii="宋体" w:hAnsi="宋体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32"/>
        <w:szCs w:val="2"/>
        <w:u w:val="none"/>
        <w:vertAlign w:val="baseline"/>
      </w:rPr>
    </w:lvl>
    <w:lvl w:ilvl="3" w:tentative="0">
      <w:start w:val="1"/>
      <w:numFmt w:val="decimal"/>
      <w:pStyle w:val="5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N2U5OGI4NTA2Y2E4Yzk0Y2MxNTVhZmRlZDZlNDQifQ=="/>
  </w:docVars>
  <w:rsids>
    <w:rsidRoot w:val="00EA412F"/>
    <w:rsid w:val="00012025"/>
    <w:rsid w:val="00074E53"/>
    <w:rsid w:val="0009192B"/>
    <w:rsid w:val="00093AD9"/>
    <w:rsid w:val="00112502"/>
    <w:rsid w:val="0017679E"/>
    <w:rsid w:val="00200046"/>
    <w:rsid w:val="00285957"/>
    <w:rsid w:val="0032058B"/>
    <w:rsid w:val="003F16ED"/>
    <w:rsid w:val="0040089B"/>
    <w:rsid w:val="00432F28"/>
    <w:rsid w:val="00490FC8"/>
    <w:rsid w:val="004B3B58"/>
    <w:rsid w:val="00535915"/>
    <w:rsid w:val="00537992"/>
    <w:rsid w:val="00552754"/>
    <w:rsid w:val="005610C3"/>
    <w:rsid w:val="005854CD"/>
    <w:rsid w:val="005B127D"/>
    <w:rsid w:val="00760032"/>
    <w:rsid w:val="007D2305"/>
    <w:rsid w:val="00811E41"/>
    <w:rsid w:val="0083250A"/>
    <w:rsid w:val="0087243D"/>
    <w:rsid w:val="00915EB6"/>
    <w:rsid w:val="00992CA9"/>
    <w:rsid w:val="00A01757"/>
    <w:rsid w:val="00A61A8A"/>
    <w:rsid w:val="00A82908"/>
    <w:rsid w:val="00B6214C"/>
    <w:rsid w:val="00B70A62"/>
    <w:rsid w:val="00C03444"/>
    <w:rsid w:val="00C33DA5"/>
    <w:rsid w:val="00C653C3"/>
    <w:rsid w:val="00CC39D8"/>
    <w:rsid w:val="00D14E44"/>
    <w:rsid w:val="00D2587D"/>
    <w:rsid w:val="00D63666"/>
    <w:rsid w:val="00E119AC"/>
    <w:rsid w:val="00E35660"/>
    <w:rsid w:val="00EA412F"/>
    <w:rsid w:val="00EC4F52"/>
    <w:rsid w:val="00F13E86"/>
    <w:rsid w:val="00F60C80"/>
    <w:rsid w:val="00F9124F"/>
    <w:rsid w:val="00FD273D"/>
    <w:rsid w:val="00FF4213"/>
    <w:rsid w:val="026715B7"/>
    <w:rsid w:val="02C801B7"/>
    <w:rsid w:val="04034533"/>
    <w:rsid w:val="04A473CD"/>
    <w:rsid w:val="0B6B60E1"/>
    <w:rsid w:val="0E2901D9"/>
    <w:rsid w:val="11FB5E40"/>
    <w:rsid w:val="11FE534A"/>
    <w:rsid w:val="12D63FAC"/>
    <w:rsid w:val="152D3AA8"/>
    <w:rsid w:val="176A5B2B"/>
    <w:rsid w:val="17C27715"/>
    <w:rsid w:val="1F6C3008"/>
    <w:rsid w:val="25D630F1"/>
    <w:rsid w:val="27323991"/>
    <w:rsid w:val="29E60CF5"/>
    <w:rsid w:val="2B033E75"/>
    <w:rsid w:val="304B38F7"/>
    <w:rsid w:val="30515682"/>
    <w:rsid w:val="311528C7"/>
    <w:rsid w:val="35926521"/>
    <w:rsid w:val="366E2AEA"/>
    <w:rsid w:val="373B2045"/>
    <w:rsid w:val="3C090751"/>
    <w:rsid w:val="3CDE2E33"/>
    <w:rsid w:val="3FC15EB9"/>
    <w:rsid w:val="431E7646"/>
    <w:rsid w:val="434538C4"/>
    <w:rsid w:val="441457AC"/>
    <w:rsid w:val="44F65AB1"/>
    <w:rsid w:val="45A7671C"/>
    <w:rsid w:val="49732CDB"/>
    <w:rsid w:val="4C09107B"/>
    <w:rsid w:val="4DBD091F"/>
    <w:rsid w:val="506568B4"/>
    <w:rsid w:val="529020D5"/>
    <w:rsid w:val="53C060BA"/>
    <w:rsid w:val="567D0612"/>
    <w:rsid w:val="58A273E2"/>
    <w:rsid w:val="58F245EA"/>
    <w:rsid w:val="64B52041"/>
    <w:rsid w:val="6A156589"/>
    <w:rsid w:val="6A22414D"/>
    <w:rsid w:val="72D416B1"/>
    <w:rsid w:val="73487C44"/>
    <w:rsid w:val="73710F5A"/>
    <w:rsid w:val="7A742397"/>
    <w:rsid w:val="7B064215"/>
    <w:rsid w:val="7C222EDB"/>
    <w:rsid w:val="7FB328E9"/>
    <w:rsid w:val="7FE1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numPr>
        <w:ilvl w:val="0"/>
        <w:numId w:val="1"/>
      </w:numPr>
      <w:spacing w:before="480"/>
      <w:contextualSpacing/>
      <w:jc w:val="left"/>
      <w:outlineLvl w:val="0"/>
    </w:pPr>
    <w:rPr>
      <w:rFonts w:ascii="Cambria" w:hAnsi="Cambria" w:eastAsia="宋体" w:cs="宋体"/>
      <w:b/>
      <w:bCs/>
      <w:kern w:val="0"/>
      <w:sz w:val="36"/>
      <w:szCs w:val="36"/>
    </w:rPr>
  </w:style>
  <w:style w:type="paragraph" w:styleId="3">
    <w:name w:val="heading 2"/>
    <w:basedOn w:val="1"/>
    <w:next w:val="1"/>
    <w:link w:val="13"/>
    <w:qFormat/>
    <w:uiPriority w:val="9"/>
    <w:pPr>
      <w:widowControl/>
      <w:numPr>
        <w:ilvl w:val="1"/>
        <w:numId w:val="1"/>
      </w:numPr>
      <w:jc w:val="left"/>
      <w:outlineLvl w:val="1"/>
    </w:pPr>
    <w:rPr>
      <w:rFonts w:ascii="Cambria" w:hAnsi="Cambria" w:eastAsia="宋体" w:cs="宋体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widowControl/>
      <w:numPr>
        <w:ilvl w:val="2"/>
        <w:numId w:val="1"/>
      </w:numPr>
      <w:spacing w:before="260" w:after="260" w:line="416" w:lineRule="auto"/>
      <w:ind w:left="709"/>
      <w:jc w:val="left"/>
      <w:outlineLvl w:val="2"/>
    </w:pPr>
    <w:rPr>
      <w:rFonts w:ascii="宋体" w:hAnsi="宋体" w:eastAsia="宋体" w:cs="宋体"/>
      <w:b/>
      <w:bCs/>
      <w:kern w:val="0"/>
      <w:sz w:val="30"/>
      <w:szCs w:val="30"/>
    </w:rPr>
  </w:style>
  <w:style w:type="paragraph" w:styleId="5">
    <w:name w:val="heading 4"/>
    <w:basedOn w:val="1"/>
    <w:next w:val="1"/>
    <w:link w:val="15"/>
    <w:qFormat/>
    <w:uiPriority w:val="9"/>
    <w:pPr>
      <w:widowControl/>
      <w:numPr>
        <w:ilvl w:val="3"/>
        <w:numId w:val="1"/>
      </w:numPr>
      <w:jc w:val="left"/>
      <w:outlineLvl w:val="3"/>
    </w:pPr>
    <w:rPr>
      <w:rFonts w:ascii="Cambria" w:hAnsi="Cambria" w:eastAsia="宋体" w:cs="宋体"/>
      <w:b/>
      <w:bCs/>
      <w:iCs/>
      <w:kern w:val="0"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Char"/>
    <w:basedOn w:val="9"/>
    <w:link w:val="6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Char"/>
    <w:basedOn w:val="9"/>
    <w:link w:val="2"/>
    <w:qFormat/>
    <w:uiPriority w:val="9"/>
    <w:rPr>
      <w:rFonts w:ascii="Cambria" w:hAnsi="Cambria" w:cs="宋体"/>
      <w:b/>
      <w:bCs/>
      <w:sz w:val="36"/>
      <w:szCs w:val="36"/>
    </w:rPr>
  </w:style>
  <w:style w:type="character" w:customStyle="1" w:styleId="13">
    <w:name w:val="标题 2 Char"/>
    <w:basedOn w:val="9"/>
    <w:link w:val="3"/>
    <w:qFormat/>
    <w:uiPriority w:val="9"/>
    <w:rPr>
      <w:rFonts w:ascii="Cambria" w:hAnsi="Cambria" w:cs="宋体"/>
      <w:b/>
      <w:bCs/>
      <w:sz w:val="32"/>
      <w:szCs w:val="32"/>
    </w:rPr>
  </w:style>
  <w:style w:type="character" w:customStyle="1" w:styleId="14">
    <w:name w:val="标题 3 Char"/>
    <w:basedOn w:val="9"/>
    <w:link w:val="4"/>
    <w:qFormat/>
    <w:uiPriority w:val="9"/>
    <w:rPr>
      <w:rFonts w:ascii="宋体" w:hAnsi="宋体" w:cs="宋体"/>
      <w:b/>
      <w:bCs/>
      <w:sz w:val="30"/>
      <w:szCs w:val="30"/>
    </w:rPr>
  </w:style>
  <w:style w:type="character" w:customStyle="1" w:styleId="15">
    <w:name w:val="标题 4 Char"/>
    <w:basedOn w:val="9"/>
    <w:link w:val="5"/>
    <w:qFormat/>
    <w:uiPriority w:val="9"/>
    <w:rPr>
      <w:rFonts w:ascii="Cambria" w:hAnsi="Cambria" w:cs="宋体"/>
      <w:b/>
      <w:bCs/>
      <w:iCs/>
      <w:sz w:val="28"/>
      <w:szCs w:val="28"/>
    </w:rPr>
  </w:style>
  <w:style w:type="paragraph" w:customStyle="1" w:styleId="16">
    <w:name w:val="表格1"/>
    <w:basedOn w:val="1"/>
    <w:link w:val="17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Cs w:val="21"/>
    </w:rPr>
  </w:style>
  <w:style w:type="character" w:customStyle="1" w:styleId="17">
    <w:name w:val="表格1 Char"/>
    <w:basedOn w:val="9"/>
    <w:link w:val="16"/>
    <w:qFormat/>
    <w:uiPriority w:val="0"/>
    <w:rPr>
      <w:rFonts w:ascii="宋体" w:hAnsi="宋体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370BF-05A2-4E3F-B603-0427E0F884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126</Words>
  <Characters>134</Characters>
  <Lines>32</Lines>
  <Paragraphs>9</Paragraphs>
  <TotalTime>261</TotalTime>
  <ScaleCrop>false</ScaleCrop>
  <LinksUpToDate>false</LinksUpToDate>
  <CharactersWithSpaces>206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2020-02-13T11:28:00Z</dcterms:created>
  <dc:creator>Hewlett-Packard Company</dc:creator>
  <cp:lastModifiedBy>珏几</cp:lastModifiedBy>
  <cp:lastPrinted>2026-06-03T06:30:09Z</cp:lastPrinted>
  <dcterms:modified xsi:type="dcterms:W3CDTF">2026-06-03T06:30:42Z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2EA8605355F04A3FB013860E5FF00F89</vt:lpwstr>
  </property>
  <property fmtid="{D5CDD505-2E9C-101B-9397-08002B2CF9AE}" pid="4" name="KSOTemplateDocerSaveRecord">
    <vt:lpwstr>eyJoZGlkIjoiMjQzNzUyMGFmOTU5MThlMTkyN2Y2Zjk0MTllODZkMTIiLCJ1c2VySWQiOiIxMDg0MjI1MjY1In0=</vt:lpwstr>
  </property>
</Properties>
</file>